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91C" w:rsidRPr="00BE691C" w:rsidRDefault="00BE691C" w:rsidP="00BE691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lang w:bidi="en-US"/>
        </w:rPr>
      </w:pPr>
      <w:r w:rsidRPr="00BE691C">
        <w:rPr>
          <w:rFonts w:ascii="Times New Roman" w:eastAsia="Calibri" w:hAnsi="Times New Roman" w:cs="Times New Roman"/>
          <w:b/>
          <w:iCs/>
          <w:lang w:bidi="en-US"/>
        </w:rPr>
        <w:t xml:space="preserve">Tabela </w:t>
      </w:r>
      <w:r w:rsidRPr="00BE691C">
        <w:rPr>
          <w:rFonts w:ascii="Times New Roman" w:eastAsia="Calibri" w:hAnsi="Times New Roman" w:cs="Times New Roman"/>
          <w:b/>
          <w:iCs/>
          <w:lang w:bidi="en-US"/>
        </w:rPr>
        <w:fldChar w:fldCharType="begin"/>
      </w:r>
      <w:r w:rsidRPr="00BE691C">
        <w:rPr>
          <w:rFonts w:ascii="Times New Roman" w:eastAsia="Calibri" w:hAnsi="Times New Roman" w:cs="Times New Roman"/>
          <w:b/>
          <w:iCs/>
          <w:lang w:bidi="en-US"/>
        </w:rPr>
        <w:instrText xml:space="preserve"> SEQ Tabela \* ARABIC </w:instrText>
      </w:r>
      <w:r w:rsidRPr="00BE691C">
        <w:rPr>
          <w:rFonts w:ascii="Times New Roman" w:eastAsia="Calibri" w:hAnsi="Times New Roman" w:cs="Times New Roman"/>
          <w:b/>
          <w:iCs/>
          <w:lang w:bidi="en-US"/>
        </w:rPr>
        <w:fldChar w:fldCharType="separate"/>
      </w:r>
      <w:r w:rsidRPr="00BE691C">
        <w:rPr>
          <w:rFonts w:ascii="Times New Roman" w:eastAsia="Calibri" w:hAnsi="Times New Roman" w:cs="Times New Roman"/>
          <w:b/>
          <w:iCs/>
          <w:noProof/>
          <w:lang w:bidi="en-US"/>
        </w:rPr>
        <w:t>22</w:t>
      </w:r>
      <w:r w:rsidRPr="00BE691C">
        <w:rPr>
          <w:rFonts w:ascii="Times New Roman" w:eastAsia="Calibri" w:hAnsi="Times New Roman" w:cs="Times New Roman"/>
          <w:b/>
          <w:iCs/>
          <w:noProof/>
          <w:lang w:bidi="en-US"/>
        </w:rPr>
        <w:fldChar w:fldCharType="end"/>
      </w:r>
      <w:r w:rsidRPr="00BE691C">
        <w:rPr>
          <w:rFonts w:ascii="Times New Roman" w:eastAsia="Calibri" w:hAnsi="Times New Roman" w:cs="Times New Roman"/>
          <w:b/>
          <w:iCs/>
          <w:lang w:bidi="en-US"/>
        </w:rPr>
        <w:t xml:space="preserve"> Metody komunikacji planowane do wykonania na różnych etapach wdrażania LSR</w:t>
      </w:r>
    </w:p>
    <w:tbl>
      <w:tblPr>
        <w:tblStyle w:val="Tabela-Siatka11"/>
        <w:tblW w:w="548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81"/>
        <w:gridCol w:w="3631"/>
        <w:gridCol w:w="2300"/>
        <w:gridCol w:w="1571"/>
        <w:gridCol w:w="1575"/>
        <w:gridCol w:w="1578"/>
        <w:gridCol w:w="1571"/>
        <w:gridCol w:w="1383"/>
        <w:gridCol w:w="1779"/>
      </w:tblGrid>
      <w:tr w:rsidR="00BE691C" w:rsidRPr="00BE691C" w:rsidTr="00BE691C">
        <w:trPr>
          <w:trHeight w:val="531"/>
        </w:trPr>
        <w:tc>
          <w:tcPr>
            <w:tcW w:w="182" w:type="pct"/>
            <w:vMerge w:val="restar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Lp.</w:t>
            </w:r>
          </w:p>
        </w:tc>
        <w:tc>
          <w:tcPr>
            <w:tcW w:w="1137" w:type="pct"/>
            <w:vMerge w:val="restar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Metody komunikacji</w:t>
            </w:r>
          </w:p>
        </w:tc>
        <w:tc>
          <w:tcPr>
            <w:tcW w:w="720" w:type="pct"/>
            <w:vMerge w:val="restar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Wskaźnik</w:t>
            </w:r>
          </w:p>
        </w:tc>
        <w:tc>
          <w:tcPr>
            <w:tcW w:w="2961" w:type="pct"/>
            <w:gridSpan w:val="6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ETAP/cel/wartość wskaźnika</w:t>
            </w:r>
          </w:p>
        </w:tc>
      </w:tr>
      <w:tr w:rsidR="00BE691C" w:rsidRPr="00BE691C" w:rsidTr="00BE691C">
        <w:trPr>
          <w:trHeight w:val="340"/>
        </w:trPr>
        <w:tc>
          <w:tcPr>
            <w:tcW w:w="182" w:type="pct"/>
            <w:vMerge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1137" w:type="pct"/>
            <w:vMerge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720" w:type="pct"/>
            <w:vMerge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492" w:type="pc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2016 – Rozpoczęcie realizacji LSR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Raz w roku</w:t>
            </w: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br/>
              <w:t>w latach</w:t>
            </w: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br/>
              <w:t>2017–2022</w:t>
            </w:r>
          </w:p>
        </w:tc>
        <w:tc>
          <w:tcPr>
            <w:tcW w:w="494" w:type="pc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Zakończenie realizacji LSR</w:t>
            </w:r>
          </w:p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2023–2024*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Przed każdym konkursem</w:t>
            </w:r>
          </w:p>
        </w:tc>
        <w:tc>
          <w:tcPr>
            <w:tcW w:w="433" w:type="pc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Po każdym konkursie</w:t>
            </w:r>
          </w:p>
        </w:tc>
        <w:tc>
          <w:tcPr>
            <w:tcW w:w="557" w:type="pc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Przy zmianie zapisów LSR </w:t>
            </w: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br/>
              <w:t>i dokumentów powiązanych</w:t>
            </w:r>
          </w:p>
        </w:tc>
      </w:tr>
      <w:tr w:rsidR="00BE691C" w:rsidRPr="00BE691C" w:rsidTr="00BE691C">
        <w:trPr>
          <w:trHeight w:val="1072"/>
        </w:trPr>
        <w:tc>
          <w:tcPr>
            <w:tcW w:w="182" w:type="pc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Artykuły na stronie internetowej LGD.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Liczba wejść na stronę internetową </w:t>
            </w: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br/>
              <w:t xml:space="preserve">z artykułem 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600</w:t>
            </w:r>
          </w:p>
        </w:tc>
        <w:tc>
          <w:tcPr>
            <w:tcW w:w="49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494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600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43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557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100</w:t>
            </w:r>
          </w:p>
        </w:tc>
      </w:tr>
      <w:tr w:rsidR="00BE691C" w:rsidRPr="00BE691C" w:rsidTr="00BE691C">
        <w:trPr>
          <w:trHeight w:val="340"/>
        </w:trPr>
        <w:tc>
          <w:tcPr>
            <w:tcW w:w="182" w:type="pc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Artykuły na stronach internetowych urzędów gmin z linkiem do www LGD.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Liczba zamieszczonych artykułów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9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94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43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</w:t>
            </w:r>
          </w:p>
        </w:tc>
      </w:tr>
      <w:tr w:rsidR="00BE691C" w:rsidRPr="00BE691C" w:rsidTr="00BE691C">
        <w:trPr>
          <w:trHeight w:val="126"/>
        </w:trPr>
        <w:tc>
          <w:tcPr>
            <w:tcW w:w="182" w:type="pc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Przekazywanie informacji podczas wydarzeń na obszarze LGD.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Liczba wydarzeń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49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10*</w:t>
            </w:r>
          </w:p>
        </w:tc>
        <w:tc>
          <w:tcPr>
            <w:tcW w:w="494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  <w:tc>
          <w:tcPr>
            <w:tcW w:w="43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  <w:tc>
          <w:tcPr>
            <w:tcW w:w="557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</w:tr>
      <w:tr w:rsidR="00BE691C" w:rsidRPr="00BE691C" w:rsidTr="00BE691C">
        <w:trPr>
          <w:trHeight w:val="340"/>
        </w:trPr>
        <w:tc>
          <w:tcPr>
            <w:tcW w:w="182" w:type="pc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Ankiety oceniające poziom zadowolenia z działań informacyjnych i doradczych.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Ilość wypełnionych ankiet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300</w:t>
            </w:r>
          </w:p>
        </w:tc>
        <w:tc>
          <w:tcPr>
            <w:tcW w:w="49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300</w:t>
            </w:r>
          </w:p>
        </w:tc>
        <w:tc>
          <w:tcPr>
            <w:tcW w:w="494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300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  <w:tc>
          <w:tcPr>
            <w:tcW w:w="43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  <w:tc>
          <w:tcPr>
            <w:tcW w:w="557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</w:tr>
      <w:tr w:rsidR="00BE691C" w:rsidRPr="00BE691C" w:rsidTr="00BE691C">
        <w:trPr>
          <w:trHeight w:val="383"/>
        </w:trPr>
        <w:tc>
          <w:tcPr>
            <w:tcW w:w="182" w:type="pc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Informacja i doradztwo w siedzibie LGD.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Liczba osób korzystających </w:t>
            </w: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br/>
              <w:t>z doradztwa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49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100*</w:t>
            </w:r>
          </w:p>
        </w:tc>
        <w:tc>
          <w:tcPr>
            <w:tcW w:w="494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  <w:tc>
          <w:tcPr>
            <w:tcW w:w="43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  <w:tc>
          <w:tcPr>
            <w:tcW w:w="557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</w:tr>
      <w:tr w:rsidR="00BE691C" w:rsidRPr="00BE691C" w:rsidTr="00BE691C">
        <w:trPr>
          <w:trHeight w:val="340"/>
        </w:trPr>
        <w:tc>
          <w:tcPr>
            <w:tcW w:w="182" w:type="pc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Materiał informacyjny  na tablicach ogłoszeń urzędów gmin i LGD.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Liczba materiałów informacyjnych na tablicach ogłoszeń.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9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43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  <w:tc>
          <w:tcPr>
            <w:tcW w:w="557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</w:tr>
      <w:tr w:rsidR="00BE691C" w:rsidRPr="00BE691C" w:rsidTr="00BE691C">
        <w:trPr>
          <w:trHeight w:val="340"/>
        </w:trPr>
        <w:tc>
          <w:tcPr>
            <w:tcW w:w="182" w:type="pc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7.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Kontakt poprzez wiadomość e-mail.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Liczba osób 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49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60</w:t>
            </w:r>
          </w:p>
        </w:tc>
        <w:tc>
          <w:tcPr>
            <w:tcW w:w="494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  <w:tc>
          <w:tcPr>
            <w:tcW w:w="43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  <w:tc>
          <w:tcPr>
            <w:tcW w:w="557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</w:tr>
      <w:tr w:rsidR="00BE691C" w:rsidRPr="00BE691C" w:rsidTr="00BE691C">
        <w:trPr>
          <w:trHeight w:val="340"/>
        </w:trPr>
        <w:tc>
          <w:tcPr>
            <w:tcW w:w="182" w:type="pc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Ankiety elektroniczne rozsyłane na adresy e-mail wnioskodawców.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Liczba wypełnionych </w:t>
            </w: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br/>
              <w:t>i zwróconych ankiet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  <w:tc>
          <w:tcPr>
            <w:tcW w:w="49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50% wnio-skodawców</w:t>
            </w:r>
          </w:p>
        </w:tc>
        <w:tc>
          <w:tcPr>
            <w:tcW w:w="494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50% wnio- skodawców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  <w:tc>
          <w:tcPr>
            <w:tcW w:w="43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50% wnio-skodawców</w:t>
            </w:r>
          </w:p>
        </w:tc>
        <w:tc>
          <w:tcPr>
            <w:tcW w:w="557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</w:t>
            </w:r>
          </w:p>
        </w:tc>
      </w:tr>
      <w:tr w:rsidR="00BE691C" w:rsidRPr="00BE691C" w:rsidTr="00BE691C">
        <w:trPr>
          <w:trHeight w:val="417"/>
        </w:trPr>
        <w:tc>
          <w:tcPr>
            <w:tcW w:w="182" w:type="pct"/>
            <w:shd w:val="clear" w:color="auto" w:fill="C6D9F1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1137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Spotkanie dla grup defaworyzowanych określonych </w:t>
            </w: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br/>
              <w:t>w LSR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BE691C" w:rsidRPr="00BE691C" w:rsidRDefault="00BE691C" w:rsidP="00BE691C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Liczba spotkań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9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494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92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  <w:tc>
          <w:tcPr>
            <w:tcW w:w="557" w:type="pct"/>
            <w:shd w:val="clear" w:color="auto" w:fill="auto"/>
          </w:tcPr>
          <w:p w:rsidR="00BE691C" w:rsidRPr="00BE691C" w:rsidRDefault="00BE691C" w:rsidP="00BE691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BE691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–</w:t>
            </w:r>
          </w:p>
        </w:tc>
      </w:tr>
    </w:tbl>
    <w:p w:rsidR="00BE691C" w:rsidRPr="00BE691C" w:rsidRDefault="00BE691C" w:rsidP="00BE691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lang w:bidi="en-US"/>
        </w:rPr>
      </w:pPr>
      <w:r w:rsidRPr="00BE691C">
        <w:rPr>
          <w:rFonts w:ascii="Times New Roman" w:eastAsia="Calibri" w:hAnsi="Times New Roman" w:cs="Times New Roman"/>
          <w:lang w:bidi="en-US"/>
        </w:rPr>
        <w:t>Źródło: Opracowanie własne</w:t>
      </w:r>
    </w:p>
    <w:p w:rsidR="00BE691C" w:rsidRPr="00BE691C" w:rsidRDefault="00BE691C" w:rsidP="00BE691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BE691C">
        <w:rPr>
          <w:rFonts w:ascii="Times New Roman" w:eastAsia="Calibri" w:hAnsi="Times New Roman" w:cs="Times New Roman"/>
          <w:lang w:bidi="en-US"/>
        </w:rPr>
        <w:t xml:space="preserve">* Przekazywanie informacji podczas wydarzeń na obszarze LGD – w latach 2019-2022 w związku z małą liczbą planowanych naborów zaplanowano łącznie udział </w:t>
      </w:r>
    </w:p>
    <w:p w:rsidR="00BE691C" w:rsidRPr="00BE691C" w:rsidRDefault="00BE691C" w:rsidP="00BE691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BE691C">
        <w:rPr>
          <w:rFonts w:ascii="Times New Roman" w:eastAsia="Calibri" w:hAnsi="Times New Roman" w:cs="Times New Roman"/>
          <w:lang w:bidi="en-US"/>
        </w:rPr>
        <w:t xml:space="preserve">    w 6 wydarzeniach.</w:t>
      </w:r>
    </w:p>
    <w:p w:rsidR="00BE691C" w:rsidRPr="00BE691C" w:rsidRDefault="00BE691C" w:rsidP="00BE691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BE691C">
        <w:rPr>
          <w:rFonts w:ascii="Times New Roman" w:eastAsia="Calibri" w:hAnsi="Times New Roman" w:cs="Times New Roman"/>
          <w:lang w:bidi="en-US"/>
        </w:rPr>
        <w:t>* Informacja i doradztwo w siedzibie LGD – w latach 2019-2022 w związku z małą liczbą planowanych naborów zaplanowano udzielenie doradztwa 30</w:t>
      </w:r>
    </w:p>
    <w:p w:rsidR="00BE691C" w:rsidRPr="00BE691C" w:rsidRDefault="00BE691C" w:rsidP="00BE691C">
      <w:pPr>
        <w:keepNext/>
        <w:spacing w:after="0" w:line="240" w:lineRule="auto"/>
        <w:jc w:val="both"/>
        <w:rPr>
          <w:rFonts w:ascii="Times New Roman" w:eastAsia="Calibri" w:hAnsi="Times New Roman" w:cs="Times New Roman"/>
          <w:lang w:bidi="en-US"/>
        </w:rPr>
      </w:pPr>
      <w:r w:rsidRPr="00BE691C">
        <w:rPr>
          <w:rFonts w:ascii="Times New Roman" w:eastAsia="Calibri" w:hAnsi="Times New Roman" w:cs="Times New Roman"/>
          <w:lang w:bidi="en-US"/>
        </w:rPr>
        <w:t xml:space="preserve">    osobom/rocznie</w:t>
      </w:r>
    </w:p>
    <w:p w:rsidR="00BE691C" w:rsidRPr="00BE691C" w:rsidRDefault="00BE691C" w:rsidP="00BE691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E691C">
        <w:rPr>
          <w:rFonts w:ascii="Times New Roman" w:eastAsia="Times New Roman" w:hAnsi="Times New Roman" w:cs="Times New Roman"/>
          <w:lang w:bidi="en-US"/>
        </w:rPr>
        <w:t>*</w:t>
      </w:r>
      <w:r w:rsidRPr="00BE691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BE691C">
        <w:rPr>
          <w:rFonts w:ascii="Times New Roman" w:eastAsia="Times New Roman" w:hAnsi="Times New Roman" w:cs="Times New Roman"/>
          <w:lang w:bidi="en-US"/>
        </w:rPr>
        <w:t>Zakończenie realizacji LSR 2023–2024 – podane wartości docelowe wskaźników należy rozumieć jako wartości do osiągnięcia łącznie w latach 2023-2024</w:t>
      </w:r>
    </w:p>
    <w:p w:rsidR="00715976" w:rsidRDefault="00715976">
      <w:bookmarkStart w:id="0" w:name="_GoBack"/>
      <w:bookmarkEnd w:id="0"/>
    </w:p>
    <w:sectPr w:rsidR="00715976" w:rsidSect="008D1DB3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83"/>
    <w:rsid w:val="00715976"/>
    <w:rsid w:val="00BE691C"/>
    <w:rsid w:val="00D1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6187B-A6F8-4EF1-8FDF-62A3F0BA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next w:val="Tabela-Siatka"/>
    <w:uiPriority w:val="59"/>
    <w:rsid w:val="00BE691C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2023-10-06T09:41:00Z</dcterms:created>
  <dcterms:modified xsi:type="dcterms:W3CDTF">2023-10-06T09:41:00Z</dcterms:modified>
</cp:coreProperties>
</file>